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  <w:r w:rsidR="00E615B8"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Gminą Małdyty, ul. Kopernika 10, 14-330 Małdyty, reprezentowaną przez: Pana Marcina Krajewskiego – Wójta Gminy Małdyty, przy kontrasygnacie Skarbnik Gminy – Pani Małgorzaty </w:t>
      </w:r>
      <w:proofErr w:type="spellStart"/>
      <w:r w:rsidRPr="005A73EF">
        <w:rPr>
          <w:sz w:val="22"/>
          <w:szCs w:val="22"/>
        </w:rPr>
        <w:t>Borchert</w:t>
      </w:r>
      <w:proofErr w:type="spellEnd"/>
      <w:r w:rsidRPr="005A73EF">
        <w:rPr>
          <w:sz w:val="22"/>
          <w:szCs w:val="22"/>
        </w:rPr>
        <w:t>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>w rezultacie dokonania wyboru oferty Wykonawcy w postępowaniu o udzielenie zamówienia publicznego prowadzonego w trybie podstawowym bez negocjacji o wartości zamówienia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21</w:t>
      </w:r>
      <w:r w:rsidRPr="005A73EF">
        <w:rPr>
          <w:sz w:val="22"/>
          <w:szCs w:val="22"/>
        </w:rPr>
        <w:t xml:space="preserve"> r. poz. </w:t>
      </w:r>
      <w:r w:rsidR="00D324DB">
        <w:rPr>
          <w:sz w:val="22"/>
          <w:szCs w:val="22"/>
        </w:rPr>
        <w:t>1129</w:t>
      </w:r>
      <w:r w:rsidRPr="005A73EF">
        <w:rPr>
          <w:sz w:val="22"/>
          <w:szCs w:val="22"/>
        </w:rPr>
        <w:t xml:space="preserve">) – dalej ustawa PZP </w:t>
      </w:r>
      <w:r w:rsidR="0097309B" w:rsidRPr="005D660A">
        <w:rPr>
          <w:color w:val="000000" w:themeColor="text1"/>
          <w:sz w:val="22"/>
          <w:szCs w:val="22"/>
        </w:rPr>
        <w:t>(znak: GKMiR.271.4</w:t>
      </w:r>
      <w:r w:rsidRPr="005D660A">
        <w:rPr>
          <w:color w:val="000000" w:themeColor="text1"/>
          <w:sz w:val="22"/>
          <w:szCs w:val="22"/>
        </w:rPr>
        <w:t>.202</w:t>
      </w:r>
      <w:r w:rsidR="0097309B" w:rsidRPr="005D660A">
        <w:rPr>
          <w:color w:val="000000" w:themeColor="text1"/>
          <w:sz w:val="22"/>
          <w:szCs w:val="22"/>
        </w:rPr>
        <w:t>2</w:t>
      </w:r>
      <w:r w:rsidRPr="005D660A">
        <w:rPr>
          <w:color w:val="000000" w:themeColor="text1"/>
          <w:sz w:val="22"/>
          <w:szCs w:val="22"/>
        </w:rPr>
        <w:t>)</w:t>
      </w:r>
      <w:r w:rsidR="005D660A">
        <w:rPr>
          <w:color w:val="000000" w:themeColor="text1"/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824EB0">
        <w:rPr>
          <w:b w:val="0"/>
          <w:bCs/>
          <w:sz w:val="22"/>
          <w:szCs w:val="22"/>
        </w:rPr>
        <w:t>„Dowóz uczniów do szkół i przedszkoli z terenu g</w:t>
      </w:r>
      <w:r w:rsidR="00653944">
        <w:rPr>
          <w:b w:val="0"/>
          <w:bCs/>
          <w:sz w:val="22"/>
          <w:szCs w:val="22"/>
        </w:rPr>
        <w:t>miny Małdyty w roku szkolnym 202</w:t>
      </w:r>
      <w:r w:rsidR="00D324DB">
        <w:rPr>
          <w:b w:val="0"/>
          <w:bCs/>
          <w:sz w:val="22"/>
          <w:szCs w:val="22"/>
        </w:rPr>
        <w:t>2</w:t>
      </w:r>
      <w:r w:rsidRPr="00824EB0">
        <w:rPr>
          <w:b w:val="0"/>
          <w:bCs/>
          <w:sz w:val="22"/>
          <w:szCs w:val="22"/>
        </w:rPr>
        <w:t>/202</w:t>
      </w:r>
      <w:bookmarkEnd w:id="1"/>
      <w:r w:rsidR="00653944">
        <w:rPr>
          <w:b w:val="0"/>
          <w:bCs/>
          <w:sz w:val="22"/>
          <w:szCs w:val="22"/>
        </w:rPr>
        <w:t>3</w:t>
      </w:r>
      <w:r w:rsidRPr="00824EB0">
        <w:rPr>
          <w:b w:val="0"/>
          <w:bCs/>
          <w:sz w:val="22"/>
          <w:szCs w:val="22"/>
        </w:rPr>
        <w:t>” w</w:t>
      </w:r>
      <w:r w:rsidR="00653944">
        <w:rPr>
          <w:b w:val="0"/>
          <w:bCs/>
          <w:sz w:val="22"/>
          <w:szCs w:val="22"/>
        </w:rPr>
        <w:t xml:space="preserve"> </w:t>
      </w:r>
      <w:r w:rsidRPr="00824EB0">
        <w:rPr>
          <w:b w:val="0"/>
          <w:bCs/>
          <w:sz w:val="22"/>
          <w:szCs w:val="22"/>
        </w:rPr>
        <w:t xml:space="preserve">zakresie obejmującym: </w:t>
      </w:r>
      <w:r w:rsidRPr="00824EB0">
        <w:rPr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</w:t>
      </w:r>
      <w:r w:rsidR="00B43CFD">
        <w:rPr>
          <w:sz w:val="22"/>
          <w:szCs w:val="22"/>
        </w:rPr>
        <w:t>w Olsztynie w roku szkolnym 2022/2023</w:t>
      </w:r>
      <w:r w:rsidRPr="00824EB0">
        <w:rPr>
          <w:sz w:val="22"/>
          <w:szCs w:val="22"/>
        </w:rPr>
        <w:t>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Przedmiotem zamówienia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>Szczegółowy opis przedmiotu zamówienia zawiera Załącznik nr 7 do Specyfikacji Warunków Zamówienia, która wraz z ofertą Wykonawcy, postanowieniem SWZ, pytaniami i odpowiedziami udzielonymi w trakcie procedury o udzielenie zamówienia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>Usługa świadczona będzie w tra</w:t>
      </w:r>
      <w:r w:rsidR="00F269E9" w:rsidRPr="0049292A">
        <w:rPr>
          <w:sz w:val="22"/>
          <w:szCs w:val="22"/>
        </w:rPr>
        <w:t>kcie trwania roku szkolnego 2022/2023</w:t>
      </w:r>
      <w:r w:rsidRPr="0049292A">
        <w:rPr>
          <w:sz w:val="22"/>
          <w:szCs w:val="22"/>
        </w:rPr>
        <w:t xml:space="preserve">, tj. </w:t>
      </w:r>
      <w:r w:rsidR="00F269E9" w:rsidRPr="0049292A">
        <w:rPr>
          <w:sz w:val="22"/>
          <w:szCs w:val="22"/>
        </w:rPr>
        <w:t>od dnia</w:t>
      </w:r>
      <w:r w:rsidR="0049292A" w:rsidRPr="0049292A">
        <w:rPr>
          <w:sz w:val="22"/>
          <w:szCs w:val="22"/>
        </w:rPr>
        <w:br/>
      </w:r>
      <w:r w:rsidR="00F269E9" w:rsidRPr="0049292A">
        <w:rPr>
          <w:sz w:val="22"/>
          <w:szCs w:val="22"/>
        </w:rPr>
        <w:t>01.09.2022</w:t>
      </w:r>
      <w:r w:rsidRPr="0049292A">
        <w:rPr>
          <w:sz w:val="22"/>
          <w:szCs w:val="22"/>
        </w:rPr>
        <w:t xml:space="preserve"> r.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 xml:space="preserve">zobowiązany </w:t>
      </w:r>
      <w:r w:rsidR="00AB5644" w:rsidRPr="0049292A">
        <w:rPr>
          <w:sz w:val="22"/>
          <w:szCs w:val="22"/>
        </w:rPr>
        <w:lastRenderedPageBreak/>
        <w:t>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t>Godziny rozpoczęcia i zakończenia zajęć lekcyjnych w poszczególnych placówk</w:t>
      </w:r>
      <w:r w:rsidR="00F269E9" w:rsidRPr="00C97A60">
        <w:rPr>
          <w:sz w:val="22"/>
          <w:szCs w:val="22"/>
        </w:rPr>
        <w:t>ach w okresie od 1 września 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</w:t>
      </w:r>
      <w:proofErr w:type="spellStart"/>
      <w:r w:rsidRPr="00D93FB4">
        <w:rPr>
          <w:b w:val="0"/>
          <w:bCs/>
          <w:sz w:val="22"/>
          <w:szCs w:val="22"/>
        </w:rPr>
        <w:t>odwozu</w:t>
      </w:r>
      <w:proofErr w:type="spellEnd"/>
      <w:r w:rsidRPr="00D93FB4">
        <w:rPr>
          <w:b w:val="0"/>
          <w:bCs/>
          <w:sz w:val="22"/>
          <w:szCs w:val="22"/>
        </w:rPr>
        <w:t xml:space="preserve"> dzieci </w:t>
      </w:r>
      <w:r w:rsidR="00C97A60">
        <w:rPr>
          <w:b w:val="0"/>
          <w:bCs/>
          <w:sz w:val="22"/>
          <w:szCs w:val="22"/>
        </w:rPr>
        <w:t xml:space="preserve">   </w:t>
      </w:r>
      <w:r w:rsidRPr="00D93FB4">
        <w:rPr>
          <w:b w:val="0"/>
          <w:bCs/>
          <w:sz w:val="22"/>
          <w:szCs w:val="22"/>
        </w:rPr>
        <w:t>ze szkół najpóźniej na 3 tygodnie przed rozpoczęciem roku szkolnego.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>z harmonogramem, każdorazowo aktualizowanym w przypadku: zmian w planie lekcji, zmiany liczby dzieci i uczniów niepełnosprawnych wynikających np. z absencji, rezygnacji z nauki lub dowozu, przekierowań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oświadcza, że posiada wszelkie wymagane prawem zezwolenia i licencje niezbędne do realizacji zamówienia.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jest zobowiązany zapewnić minimum 1 (jednego) kierowcę i 1 (jednego) opiekuna przewożonym dzieciom w każdym pojeździe realizującym przedmiot zamówienia.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>Osoby skierowane do realizacji zamówienia muszą posiadać ważne badania lekarskie oraz przeszkolenie w zakresie przepisów BHP i p.poż.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>lub pierwszej pomocy przedmedycznej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</w:t>
      </w:r>
      <w:proofErr w:type="spellStart"/>
      <w:r w:rsidRPr="005A73EF">
        <w:rPr>
          <w:b w:val="0"/>
          <w:sz w:val="22"/>
          <w:szCs w:val="22"/>
        </w:rPr>
        <w:t>t.j</w:t>
      </w:r>
      <w:proofErr w:type="spellEnd"/>
      <w:r w:rsidRPr="005A73EF">
        <w:rPr>
          <w:b w:val="0"/>
          <w:sz w:val="22"/>
          <w:szCs w:val="22"/>
        </w:rPr>
        <w:t xml:space="preserve">. Dz.U. z 2020 r. poz. 910z </w:t>
      </w:r>
      <w:proofErr w:type="spellStart"/>
      <w:r w:rsidRPr="005A73EF">
        <w:rPr>
          <w:b w:val="0"/>
          <w:sz w:val="22"/>
          <w:szCs w:val="22"/>
        </w:rPr>
        <w:t>późn</w:t>
      </w:r>
      <w:proofErr w:type="spellEnd"/>
      <w:r w:rsidRPr="005A73EF">
        <w:rPr>
          <w:b w:val="0"/>
          <w:sz w:val="22"/>
          <w:szCs w:val="22"/>
        </w:rPr>
        <w:t>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</w:t>
      </w:r>
      <w:proofErr w:type="spellStart"/>
      <w:r w:rsidRPr="0049292A">
        <w:rPr>
          <w:rStyle w:val="markedcontent"/>
          <w:b w:val="0"/>
          <w:sz w:val="22"/>
          <w:szCs w:val="22"/>
        </w:rPr>
        <w:t>t.j</w:t>
      </w:r>
      <w:proofErr w:type="spellEnd"/>
      <w:r w:rsidRPr="0049292A">
        <w:rPr>
          <w:rStyle w:val="markedcontent"/>
          <w:b w:val="0"/>
          <w:sz w:val="22"/>
          <w:szCs w:val="22"/>
        </w:rPr>
        <w:t>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 xml:space="preserve">W czasie ogłoszonej na terytorium Rzeczypospolitej Polskiej epidemii lub pandemii, w przypadku korzystania z dowozów do szkół Wykonawca będzie realizował usługę zgodnie z wymogami sanitarnymi określonymi przepisami prawa powszechnie obowiązującego oraz </w:t>
      </w:r>
      <w:r w:rsidRPr="0049292A">
        <w:rPr>
          <w:b w:val="0"/>
          <w:sz w:val="22"/>
          <w:szCs w:val="22"/>
        </w:rPr>
        <w:lastRenderedPageBreak/>
        <w:t>zaleceniami/wytycznymi Głównego Inspektora Sanitarnego wydanymi w związku z epidemią lub 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154787" w:rsidRPr="0049292A">
        <w:rPr>
          <w:b w:val="0"/>
          <w:bCs/>
          <w:sz w:val="22"/>
          <w:szCs w:val="22"/>
        </w:rPr>
        <w:t>16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zamówienia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pkt 4) ustawy PZP ustala się, że minimalna liczba zamówionych w danym miesiącu biletów miesięcznych wynosić będzie </w:t>
      </w:r>
      <w:r w:rsidR="004E3E58" w:rsidRPr="0049292A">
        <w:rPr>
          <w:b w:val="0"/>
          <w:bCs/>
          <w:sz w:val="22"/>
          <w:szCs w:val="22"/>
        </w:rPr>
        <w:t>11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poszczególnych miejscowości, najpóźniej na 8 dni kalendarzowych przed rozpoczęciem realizacji zamówienia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zamówienia</w:t>
      </w:r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8C6551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0E0B51">
        <w:rPr>
          <w:color w:val="000000"/>
          <w:sz w:val="22"/>
          <w:szCs w:val="22"/>
        </w:rPr>
        <w:t xml:space="preserve">W miesiącu, w którym planowane są ferie zimowe ceny biletów miesięcznych zmniejszone będą w przypadku miesiąca stycznia 2023 r. o 30%, miesiąca lutego 2023 r. o 15%. Zniżka obejmować będzie również miesiąc grudzień 2022 (ze względu na święta Bożego Narodzenia) – 20 %, kwiecień 2023 r. (ze względu na święta Wielkanocne) 15% i miesiąc czerwiec 2023 r. (ze względu na koniec roku szkolnego) – 20 %.  </w:t>
      </w:r>
    </w:p>
    <w:p w:rsidR="0058472B" w:rsidRPr="008C6551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0E0B51">
        <w:rPr>
          <w:bCs/>
          <w:color w:val="000000"/>
          <w:sz w:val="22"/>
          <w:szCs w:val="22"/>
        </w:rPr>
        <w:t xml:space="preserve">Niezależnie od postanowień ust. 6 wynagrodzenie </w:t>
      </w:r>
      <w:proofErr w:type="spellStart"/>
      <w:r>
        <w:rPr>
          <w:bCs/>
          <w:sz w:val="22"/>
          <w:szCs w:val="22"/>
        </w:rPr>
        <w:t>w</w:t>
      </w:r>
      <w:r w:rsidR="0058472B" w:rsidRPr="008C6551">
        <w:rPr>
          <w:bCs/>
          <w:sz w:val="22"/>
          <w:szCs w:val="22"/>
        </w:rPr>
        <w:t>ynagrodzenie</w:t>
      </w:r>
      <w:proofErr w:type="spellEnd"/>
      <w:r w:rsidR="0058472B" w:rsidRPr="008C6551">
        <w:rPr>
          <w:bCs/>
          <w:sz w:val="22"/>
          <w:szCs w:val="22"/>
        </w:rPr>
        <w:t xml:space="preserve"> Wykonawcy za dany miesiąc nie przysługuje lub ulega proporcjonalnemu pomniejszeniu w sytuacji, gdy w tym miesiącu kalendarzowym Wykonawca nie będzie wykonywać</w:t>
      </w:r>
      <w:r w:rsidR="001A69CD" w:rsidRPr="008C6551">
        <w:rPr>
          <w:bCs/>
          <w:sz w:val="22"/>
          <w:szCs w:val="22"/>
        </w:rPr>
        <w:t xml:space="preserve"> części bądź całości </w:t>
      </w:r>
      <w:r w:rsidR="002A235B" w:rsidRPr="008C6551">
        <w:rPr>
          <w:bCs/>
          <w:sz w:val="22"/>
          <w:szCs w:val="22"/>
        </w:rPr>
        <w:t>umowy,</w:t>
      </w:r>
      <w:r w:rsidR="0058472B" w:rsidRPr="008C6551">
        <w:rPr>
          <w:bCs/>
          <w:sz w:val="22"/>
          <w:szCs w:val="22"/>
        </w:rPr>
        <w:t xml:space="preserve"> </w:t>
      </w:r>
      <w:r w:rsidR="002A235B" w:rsidRPr="008C6551">
        <w:rPr>
          <w:rFonts w:eastAsia="Arial"/>
          <w:sz w:val="22"/>
          <w:szCs w:val="22"/>
          <w:lang w:eastAsia="hi-IN" w:bidi="hi-IN"/>
        </w:rPr>
        <w:t>w</w:t>
      </w:r>
      <w:r w:rsidR="001A69CD" w:rsidRPr="008C6551">
        <w:rPr>
          <w:rFonts w:eastAsia="Arial"/>
          <w:sz w:val="22"/>
          <w:szCs w:val="22"/>
          <w:lang w:eastAsia="hi-IN" w:bidi="hi-IN"/>
        </w:rPr>
        <w:t xml:space="preserve"> szczególności </w:t>
      </w:r>
      <w:r w:rsidR="001A69CD" w:rsidRPr="008C6551">
        <w:rPr>
          <w:sz w:val="22"/>
          <w:szCs w:val="22"/>
        </w:rPr>
        <w:t>z powodu okoliczności związanych z wystąpieniem stanów epidemii, zdarzeń losowych, strajków, stanów nadzwyczajnych, o których mowa w Konstytucji RP oraz w przypadku wprowadzenia zdalnego nauczania</w:t>
      </w:r>
      <w:r w:rsidR="00A87D48" w:rsidRPr="008C6551">
        <w:rPr>
          <w:sz w:val="22"/>
          <w:szCs w:val="22"/>
        </w:rPr>
        <w:t xml:space="preserve">. </w:t>
      </w:r>
      <w:r w:rsidR="0058472B" w:rsidRPr="008C6551">
        <w:rPr>
          <w:bCs/>
          <w:sz w:val="22"/>
          <w:szCs w:val="22"/>
        </w:rPr>
        <w:t xml:space="preserve">Obliczenie wysokości pomniejszonego wynagrodzenia Wykonawcy nastąpi poprzez porównanie liczby faktycznie przejechanych kilometrów w danym miesiącu kalendarzowym z liczbą kilometrów wynikającą ze szczegółowego opisu przedmiotu zamówienia (SOPZ) stanowiącego Załącznik nr 7 do Specyfikacji Warunków Zamówienia. </w:t>
      </w:r>
      <w:r>
        <w:rPr>
          <w:bCs/>
          <w:sz w:val="22"/>
          <w:szCs w:val="22"/>
        </w:rPr>
        <w:br/>
      </w:r>
      <w:r w:rsidR="0058472B" w:rsidRPr="008C6551">
        <w:rPr>
          <w:bCs/>
          <w:sz w:val="22"/>
          <w:szCs w:val="22"/>
        </w:rPr>
        <w:t xml:space="preserve">W przypadku uprzedniej wypłaty Wykonawcy wynagrodzenia za dany miesiąc w pełnej wysokości jest on zobowiązany zwrócić na żądanie Zamawiającego różnicę między wynagrodzeniem wypłaconym a ustalonym zgodnie z postanowieniami niniejszego ustępu.     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F269E9">
        <w:rPr>
          <w:sz w:val="22"/>
          <w:szCs w:val="22"/>
        </w:rPr>
        <w:t>ewentualnych roszczeń finansowych z tytułu kar umownych</w:t>
      </w:r>
      <w:bookmarkEnd w:id="2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pkt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 xml:space="preserve">twierdzenia przez </w:t>
      </w:r>
      <w:r w:rsidRPr="005A73EF">
        <w:rPr>
          <w:sz w:val="22"/>
          <w:szCs w:val="22"/>
        </w:rPr>
        <w:lastRenderedPageBreak/>
        <w:t>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Zamawiający może odstąpić umowy w terminie 30 dni od powzięcia wiadomości o okolicznościach określonych w art. 456 ust. 1 pkt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</w:t>
      </w:r>
      <w:proofErr w:type="spellStart"/>
      <w:r w:rsidRPr="005A73EF">
        <w:rPr>
          <w:sz w:val="22"/>
          <w:szCs w:val="22"/>
          <w:lang w:val="en-US"/>
        </w:rPr>
        <w:t>i</w:t>
      </w:r>
      <w:proofErr w:type="spellEnd"/>
      <w:r w:rsidRPr="005A73EF">
        <w:rPr>
          <w:sz w:val="22"/>
          <w:szCs w:val="22"/>
          <w:lang w:val="en-US"/>
        </w:rPr>
        <w:t xml:space="preserve">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Na podstawie art. 95 ust. 1 ustawy PZP Zamawiający wymaga udokumentowania zatrudnienia osób wykonujących przy realizacji zamówienia</w:t>
      </w:r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</w:t>
      </w:r>
      <w:r w:rsidRPr="005A73EF">
        <w:rPr>
          <w:sz w:val="22"/>
          <w:szCs w:val="22"/>
        </w:rPr>
        <w:lastRenderedPageBreak/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zanonimizowana. Imię i nazwisko pracownika nie podlega</w:t>
      </w:r>
      <w:r w:rsidR="00F269E9">
        <w:rPr>
          <w:sz w:val="22"/>
          <w:szCs w:val="22"/>
        </w:rPr>
        <w:t xml:space="preserve"> </w:t>
      </w:r>
      <w:proofErr w:type="spellStart"/>
      <w:r w:rsidRPr="005A73EF">
        <w:rPr>
          <w:sz w:val="22"/>
          <w:szCs w:val="22"/>
        </w:rPr>
        <w:t>anonimizacji</w:t>
      </w:r>
      <w:proofErr w:type="spellEnd"/>
      <w:r w:rsidRPr="005A73EF">
        <w:rPr>
          <w:sz w:val="22"/>
          <w:szCs w:val="22"/>
        </w:rPr>
        <w:t xml:space="preserve">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proofErr w:type="spellStart"/>
      <w:r w:rsidRPr="005A73EF">
        <w:rPr>
          <w:sz w:val="22"/>
          <w:szCs w:val="22"/>
        </w:rPr>
        <w:t>anonimizacji</w:t>
      </w:r>
      <w:proofErr w:type="spellEnd"/>
      <w:r w:rsidRPr="005A73EF">
        <w:rPr>
          <w:sz w:val="22"/>
          <w:szCs w:val="22"/>
        </w:rPr>
        <w:t xml:space="preserve">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 xml:space="preserve"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 (Dz. U. z 2020 r. poz. 1320 z </w:t>
      </w:r>
      <w:proofErr w:type="spellStart"/>
      <w:r w:rsidRPr="005A73EF">
        <w:rPr>
          <w:sz w:val="22"/>
          <w:szCs w:val="22"/>
        </w:rPr>
        <w:t>późn</w:t>
      </w:r>
      <w:proofErr w:type="spellEnd"/>
      <w:r w:rsidRPr="005A73EF">
        <w:rPr>
          <w:sz w:val="22"/>
          <w:szCs w:val="22"/>
        </w:rPr>
        <w:t>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przez cały okres wykonywania tych czynności w ramach zamówienia.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zamówienia, terminu realizacji lub wysokości wynagrodzenia Wykonawcy w przypadku zmiany obowiązujących przepisów regulujących zakres umowy, dotyczących w szczególności systemu oświaty,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akresie terminu wielkości zamówienia, realizacji zamówienia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wyłącznie w stosunku do niezrealizowanej w dniu zmiany stawki podatku od towarów i usług części zamówienia,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do określonego w ofercie wynagrodzenia w odniesieniu do niezrealizowanej części zamówienia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>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Wykonawca może powierzyć dane osobowe objęte niniejszą umową do dalszego przetwarzania </w:t>
      </w:r>
      <w:r w:rsidRPr="005A73EF">
        <w:rPr>
          <w:rFonts w:eastAsia="Calibri"/>
          <w:bCs/>
          <w:sz w:val="22"/>
          <w:szCs w:val="22"/>
          <w:lang w:eastAsia="ar-SA"/>
        </w:rPr>
        <w:lastRenderedPageBreak/>
        <w:t>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Specyfikacja warunków zamówienia,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>Pytania i odpowiedziami udzielone w trakcie procedury o udzielenie zamówienia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49292A">
      <w:headerReference w:type="default" r:id="rId7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2A" w:rsidRDefault="0049292A">
      <w:r>
        <w:separator/>
      </w:r>
    </w:p>
  </w:endnote>
  <w:endnote w:type="continuationSeparator" w:id="1">
    <w:p w:rsidR="0049292A" w:rsidRDefault="0049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2A" w:rsidRDefault="0049292A">
      <w:r>
        <w:separator/>
      </w:r>
    </w:p>
  </w:footnote>
  <w:footnote w:type="continuationSeparator" w:id="1">
    <w:p w:rsidR="0049292A" w:rsidRDefault="0049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54787"/>
    <w:rsid w:val="00192188"/>
    <w:rsid w:val="001A69CD"/>
    <w:rsid w:val="001B0226"/>
    <w:rsid w:val="001E6484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35F48"/>
    <w:rsid w:val="00462B97"/>
    <w:rsid w:val="0049292A"/>
    <w:rsid w:val="00495FD4"/>
    <w:rsid w:val="004E3E58"/>
    <w:rsid w:val="004E57EE"/>
    <w:rsid w:val="0050231C"/>
    <w:rsid w:val="00546E8A"/>
    <w:rsid w:val="0058472B"/>
    <w:rsid w:val="005D660A"/>
    <w:rsid w:val="005D6B16"/>
    <w:rsid w:val="005F3899"/>
    <w:rsid w:val="00653944"/>
    <w:rsid w:val="00683556"/>
    <w:rsid w:val="006C758C"/>
    <w:rsid w:val="007121F4"/>
    <w:rsid w:val="00724188"/>
    <w:rsid w:val="00782302"/>
    <w:rsid w:val="007E5062"/>
    <w:rsid w:val="007F30E4"/>
    <w:rsid w:val="007F3F80"/>
    <w:rsid w:val="008238E5"/>
    <w:rsid w:val="00823FE1"/>
    <w:rsid w:val="00824EB0"/>
    <w:rsid w:val="00835537"/>
    <w:rsid w:val="008372D3"/>
    <w:rsid w:val="0086027B"/>
    <w:rsid w:val="00871A9E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31CD"/>
    <w:rsid w:val="00AB5644"/>
    <w:rsid w:val="00B43CFD"/>
    <w:rsid w:val="00B94783"/>
    <w:rsid w:val="00BA40FB"/>
    <w:rsid w:val="00C164D2"/>
    <w:rsid w:val="00C17393"/>
    <w:rsid w:val="00C2052F"/>
    <w:rsid w:val="00C31398"/>
    <w:rsid w:val="00C556A5"/>
    <w:rsid w:val="00C80C83"/>
    <w:rsid w:val="00C97A60"/>
    <w:rsid w:val="00CC44A3"/>
    <w:rsid w:val="00CE16FB"/>
    <w:rsid w:val="00CF5595"/>
    <w:rsid w:val="00D11E87"/>
    <w:rsid w:val="00D22538"/>
    <w:rsid w:val="00D324DB"/>
    <w:rsid w:val="00D65D4D"/>
    <w:rsid w:val="00D733F0"/>
    <w:rsid w:val="00D77BB7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F0110F"/>
    <w:rsid w:val="00F21834"/>
    <w:rsid w:val="00F265BB"/>
    <w:rsid w:val="00F269E9"/>
    <w:rsid w:val="00F33440"/>
    <w:rsid w:val="00F37867"/>
    <w:rsid w:val="00F45057"/>
    <w:rsid w:val="00F508F8"/>
    <w:rsid w:val="00FA75C2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5431</Words>
  <Characters>32587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STENIA</cp:lastModifiedBy>
  <cp:revision>15</cp:revision>
  <dcterms:created xsi:type="dcterms:W3CDTF">2022-06-14T12:36:00Z</dcterms:created>
  <dcterms:modified xsi:type="dcterms:W3CDTF">2022-06-27T12:07:00Z</dcterms:modified>
</cp:coreProperties>
</file>